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</w:t>
      </w:r>
      <w:r w:rsidR="004D1DC2">
        <w:t>5</w:t>
      </w:r>
      <w:r>
        <w:t>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1B3310" w:rsidRPr="001B3310">
        <w:rPr>
          <w:b/>
          <w:i/>
        </w:rPr>
        <w:t>Doposażenie zajęć sportowo-ruchowych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</w:t>
      </w:r>
      <w:r w:rsidR="004D1DC2">
        <w:t>ponieważ postępowanie obarczone jest niemożliwą do usunięcia wadą uniemożlwiającą zawarcie niepodlegającej unieważnieniu umowy.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115DA2"/>
    <w:rsid w:val="001B3310"/>
    <w:rsid w:val="003139E5"/>
    <w:rsid w:val="00401FAA"/>
    <w:rsid w:val="00410823"/>
    <w:rsid w:val="004D1DC2"/>
    <w:rsid w:val="00532591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2020-05-11T06:03:00Z</dcterms:created>
  <dcterms:modified xsi:type="dcterms:W3CDTF">2020-05-15T10:52:00Z</dcterms:modified>
</cp:coreProperties>
</file>