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A7722E">
        <w:t>1</w:t>
      </w:r>
      <w:r w:rsidR="00721C01">
        <w:t>3</w:t>
      </w:r>
      <w:r w:rsidR="00A7722E">
        <w:t>.06</w:t>
      </w:r>
      <w:r w:rsidR="004E51D3">
        <w:t>.2018</w:t>
      </w:r>
    </w:p>
    <w:p w:rsidR="006F1806" w:rsidRDefault="004E51D3" w:rsidP="006F1806">
      <w:pPr>
        <w:spacing w:after="0" w:line="240" w:lineRule="auto"/>
      </w:pPr>
      <w:r>
        <w:t>BIII.271.</w:t>
      </w:r>
      <w:r w:rsidR="00A7722E">
        <w:t>3</w:t>
      </w:r>
      <w:r>
        <w:t>.2018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A7722E">
        <w:t xml:space="preserve">29.05.2018 godzina 10.15 </w:t>
      </w:r>
      <w:r>
        <w:t xml:space="preserve">odbyło się otwarcie ofert w przetargu nieograniczonym na </w:t>
      </w:r>
      <w:r w:rsidR="00A7722E" w:rsidRPr="00A7722E">
        <w:rPr>
          <w:b/>
          <w:bCs/>
          <w:i/>
        </w:rPr>
        <w:t>Budowa salki edukacyjnej z zapleczem socjalno-biurowym, kontenera socjalno-biurowego, dwóch wiat magazynowych, rampy rozładunkowej z boksami magazynowymi oraz fundamentu wagi samochodowej i drogi</w:t>
      </w:r>
      <w:r w:rsidR="00A7722E">
        <w:rPr>
          <w:b/>
          <w:bCs/>
          <w:i/>
        </w:rPr>
        <w:t xml:space="preserve">. </w:t>
      </w:r>
      <w:r w:rsidR="00C47124">
        <w:t>Stosownie do postanowień zawartych w art. 92 ustawy Prawo zamówień publicznych</w:t>
      </w:r>
      <w:r w:rsidR="00C06D71">
        <w:t xml:space="preserve"> (tj. Dz.U. z 2017 poz. 1579</w:t>
      </w:r>
      <w:r w:rsidR="00A7722E">
        <w:t xml:space="preserve"> ze zm.</w:t>
      </w:r>
      <w:r w:rsidR="00C06D71">
        <w:t xml:space="preserve">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2410"/>
        <w:gridCol w:w="1559"/>
        <w:gridCol w:w="1418"/>
        <w:gridCol w:w="1134"/>
        <w:gridCol w:w="1275"/>
      </w:tblGrid>
      <w:tr w:rsidR="006F1806" w:rsidRPr="00D22F8F" w:rsidTr="00A7722E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5387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A7722E" w:rsidRPr="00D22F8F" w:rsidTr="00A7722E">
        <w:trPr>
          <w:trHeight w:val="427"/>
        </w:trPr>
        <w:tc>
          <w:tcPr>
            <w:tcW w:w="284" w:type="dxa"/>
            <w:vMerge/>
          </w:tcPr>
          <w:p w:rsidR="00A7722E" w:rsidRPr="00631A32" w:rsidRDefault="00A7722E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A7722E" w:rsidRPr="00631A32" w:rsidRDefault="00A7722E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559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418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134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275" w:type="dxa"/>
          </w:tcPr>
          <w:p w:rsidR="00A7722E" w:rsidRPr="00631A32" w:rsidRDefault="00A7722E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A7722E" w:rsidRPr="00D22F8F" w:rsidTr="00A7722E">
        <w:trPr>
          <w:trHeight w:val="718"/>
        </w:trPr>
        <w:tc>
          <w:tcPr>
            <w:tcW w:w="284" w:type="dxa"/>
          </w:tcPr>
          <w:p w:rsidR="00A7722E" w:rsidRPr="00C94B5C" w:rsidRDefault="00A7722E" w:rsidP="004E51D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12" w:type="dxa"/>
          </w:tcPr>
          <w:p w:rsidR="00A7722E" w:rsidRPr="00645F75" w:rsidRDefault="00A7722E" w:rsidP="004E51D3">
            <w:r w:rsidRPr="00A7722E">
              <w:t xml:space="preserve">SGW BUDOWNICTWO Waldemar Stelmach, Spółka komandytowa, ul. </w:t>
            </w:r>
            <w:proofErr w:type="spellStart"/>
            <w:r w:rsidRPr="00A7722E">
              <w:t>Idalińska</w:t>
            </w:r>
            <w:proofErr w:type="spellEnd"/>
            <w:r w:rsidRPr="00A7722E">
              <w:t xml:space="preserve"> 53, 26-600 Radom</w:t>
            </w:r>
          </w:p>
        </w:tc>
        <w:tc>
          <w:tcPr>
            <w:tcW w:w="2410" w:type="dxa"/>
          </w:tcPr>
          <w:p w:rsidR="00A7722E" w:rsidRPr="008E0280" w:rsidRDefault="00A7722E" w:rsidP="004E51D3">
            <w:r w:rsidRPr="00A7722E">
              <w:t>1 753 980,00</w:t>
            </w:r>
          </w:p>
        </w:tc>
        <w:tc>
          <w:tcPr>
            <w:tcW w:w="1559" w:type="dxa"/>
          </w:tcPr>
          <w:p w:rsidR="00A7722E" w:rsidRDefault="00A7722E" w:rsidP="004E51D3">
            <w:r>
              <w:t>60 miesięcy</w:t>
            </w:r>
          </w:p>
        </w:tc>
        <w:tc>
          <w:tcPr>
            <w:tcW w:w="1418" w:type="dxa"/>
          </w:tcPr>
          <w:p w:rsidR="00A7722E" w:rsidRPr="00D57B37" w:rsidRDefault="00721C01" w:rsidP="004E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722E" w:rsidRPr="00D57B37" w:rsidRDefault="00721C01" w:rsidP="004E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7722E" w:rsidRDefault="00721C01" w:rsidP="004E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odrzucona</w:t>
            </w:r>
            <w:r w:rsidR="008A3FAB">
              <w:rPr>
                <w:sz w:val="20"/>
                <w:szCs w:val="20"/>
              </w:rPr>
              <w:t>-</w:t>
            </w:r>
          </w:p>
          <w:p w:rsidR="008A3FAB" w:rsidRPr="00D57B37" w:rsidRDefault="008A3FAB" w:rsidP="008A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Art. 90 ust.2 ustawy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</w:p>
        </w:tc>
      </w:tr>
      <w:tr w:rsidR="00A7722E" w:rsidRPr="00D22F8F" w:rsidTr="00A7722E">
        <w:trPr>
          <w:trHeight w:val="718"/>
        </w:trPr>
        <w:tc>
          <w:tcPr>
            <w:tcW w:w="284" w:type="dxa"/>
          </w:tcPr>
          <w:p w:rsidR="00A7722E" w:rsidRDefault="00A7722E" w:rsidP="00040CAD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12" w:type="dxa"/>
          </w:tcPr>
          <w:p w:rsidR="00A7722E" w:rsidRPr="00645F75" w:rsidRDefault="00A7722E" w:rsidP="00040CAD">
            <w:r w:rsidRPr="00A7722E">
              <w:t xml:space="preserve">DROMAR R. L. Bożek s. </w:t>
            </w:r>
            <w:proofErr w:type="spellStart"/>
            <w:r w:rsidRPr="00A7722E">
              <w:t>c.,ul</w:t>
            </w:r>
            <w:proofErr w:type="spellEnd"/>
            <w:r w:rsidRPr="00A7722E">
              <w:t>. A. Hedy ps. „Szary” 9A, 27-400 Ostrowiec Św.</w:t>
            </w:r>
          </w:p>
        </w:tc>
        <w:tc>
          <w:tcPr>
            <w:tcW w:w="2410" w:type="dxa"/>
          </w:tcPr>
          <w:p w:rsidR="00A7722E" w:rsidRPr="00C06D71" w:rsidRDefault="00A7722E" w:rsidP="00040CAD">
            <w:r w:rsidRPr="00A7722E">
              <w:t>2 563 812,00</w:t>
            </w:r>
          </w:p>
        </w:tc>
        <w:tc>
          <w:tcPr>
            <w:tcW w:w="1559" w:type="dxa"/>
          </w:tcPr>
          <w:p w:rsidR="00A7722E" w:rsidRDefault="00A7722E" w:rsidP="00040CAD">
            <w:r w:rsidRPr="00206E1C">
              <w:t>60 miesięcy</w:t>
            </w:r>
          </w:p>
        </w:tc>
        <w:tc>
          <w:tcPr>
            <w:tcW w:w="1418" w:type="dxa"/>
          </w:tcPr>
          <w:p w:rsidR="00A7722E" w:rsidRPr="00D57B37" w:rsidRDefault="00721C01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72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7722E" w:rsidRPr="00D57B37" w:rsidRDefault="00721C01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722E" w:rsidRPr="00D57B3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7722E" w:rsidRPr="00D57B37" w:rsidRDefault="00721C01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040CAD">
        <w:t>a firma</w:t>
      </w:r>
      <w:r w:rsidRPr="00C47124">
        <w:t>:</w:t>
      </w:r>
    </w:p>
    <w:p w:rsidR="00C47124" w:rsidRDefault="00721C01" w:rsidP="00D22F8F">
      <w:pPr>
        <w:spacing w:after="0" w:line="240" w:lineRule="auto"/>
        <w:rPr>
          <w:b/>
        </w:rPr>
      </w:pPr>
      <w:r w:rsidRPr="00721C01">
        <w:rPr>
          <w:b/>
        </w:rPr>
        <w:t xml:space="preserve">DROMAR R. L. Bożek s. </w:t>
      </w:r>
      <w:proofErr w:type="spellStart"/>
      <w:r w:rsidRPr="00721C01">
        <w:rPr>
          <w:b/>
        </w:rPr>
        <w:t>c.,ul</w:t>
      </w:r>
      <w:proofErr w:type="spellEnd"/>
      <w:r w:rsidRPr="00721C01">
        <w:rPr>
          <w:b/>
        </w:rPr>
        <w:t>. A. Hedy ps. „Szary” 9A, 27-400 Ostrowiec Św.</w:t>
      </w:r>
      <w:r>
        <w:rPr>
          <w:b/>
        </w:rPr>
        <w:t xml:space="preserve"> </w:t>
      </w:r>
      <w:r w:rsidR="00460EB9">
        <w:rPr>
          <w:b/>
        </w:rPr>
        <w:t xml:space="preserve">za kwotę </w:t>
      </w:r>
      <w:r>
        <w:rPr>
          <w:b/>
        </w:rPr>
        <w:t>2 563 812</w:t>
      </w:r>
      <w:r w:rsidR="00040CAD">
        <w:rPr>
          <w:b/>
        </w:rPr>
        <w:t>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8A3FAB" w:rsidRDefault="008A3FAB" w:rsidP="00D22F8F">
      <w:pPr>
        <w:spacing w:after="0" w:line="240" w:lineRule="auto"/>
        <w:rPr>
          <w:b/>
        </w:rPr>
      </w:pPr>
    </w:p>
    <w:p w:rsidR="008A3FAB" w:rsidRPr="008A3FAB" w:rsidRDefault="008A3FAB" w:rsidP="008A3FAB">
      <w:pPr>
        <w:pStyle w:val="Akapitzlist"/>
        <w:numPr>
          <w:ilvl w:val="0"/>
          <w:numId w:val="1"/>
        </w:numPr>
        <w:spacing w:after="0" w:line="360" w:lineRule="auto"/>
        <w:rPr>
          <w:color w:val="000000"/>
        </w:rPr>
      </w:pPr>
      <w:r w:rsidRPr="008A3FAB">
        <w:rPr>
          <w:b/>
          <w:color w:val="000000"/>
          <w:lang w:eastAsia="pl-PL"/>
        </w:rPr>
        <w:t xml:space="preserve">ODRZUCIŁ- </w:t>
      </w:r>
      <w:r w:rsidRPr="008A3FAB">
        <w:rPr>
          <w:b/>
          <w:color w:val="000000"/>
        </w:rPr>
        <w:t>SGW BUDOWNICTWO Waldemar Stelmach</w:t>
      </w:r>
      <w:r w:rsidRPr="008A3FAB">
        <w:rPr>
          <w:color w:val="000000"/>
        </w:rPr>
        <w:t xml:space="preserve">, Spółka komandytowa, ul. </w:t>
      </w:r>
      <w:proofErr w:type="spellStart"/>
      <w:r w:rsidRPr="008A3FAB">
        <w:rPr>
          <w:color w:val="000000"/>
        </w:rPr>
        <w:t>Idalińska</w:t>
      </w:r>
      <w:proofErr w:type="spellEnd"/>
      <w:r w:rsidRPr="008A3FAB">
        <w:rPr>
          <w:color w:val="000000"/>
        </w:rPr>
        <w:t xml:space="preserve"> 53, 26-600 Radom </w:t>
      </w:r>
    </w:p>
    <w:p w:rsidR="008A3FAB" w:rsidRPr="008A3FAB" w:rsidRDefault="008A3FAB" w:rsidP="008A3FAB">
      <w:pPr>
        <w:spacing w:after="0" w:line="360" w:lineRule="auto"/>
      </w:pPr>
      <w:r>
        <w:t xml:space="preserve">Oferta wykonawcy podlega odrzuceniu z postępowania na podstawie art. 90 ust. 3 ustawy </w:t>
      </w:r>
      <w:r w:rsidRPr="00427FAD">
        <w:t>z dnia 29 stycznia 2004</w:t>
      </w:r>
      <w:r>
        <w:t xml:space="preserve"> </w:t>
      </w:r>
      <w:r w:rsidRPr="00427FAD">
        <w:t>r. Prawo zamówień publicznych</w:t>
      </w:r>
      <w:r>
        <w:t xml:space="preserve">. </w:t>
      </w:r>
    </w:p>
    <w:p w:rsidR="008A3FAB" w:rsidRDefault="008A3FAB" w:rsidP="008A3FAB">
      <w:pPr>
        <w:spacing w:after="0" w:line="360" w:lineRule="auto"/>
        <w:rPr>
          <w:u w:val="single"/>
        </w:rPr>
      </w:pPr>
    </w:p>
    <w:p w:rsidR="008A3FAB" w:rsidRDefault="008A3FAB" w:rsidP="008A3FAB">
      <w:pPr>
        <w:spacing w:after="0" w:line="360" w:lineRule="auto"/>
        <w:rPr>
          <w:u w:val="single"/>
        </w:rPr>
      </w:pPr>
    </w:p>
    <w:p w:rsidR="008A3FAB" w:rsidRDefault="008A3FAB" w:rsidP="008A3FAB">
      <w:pPr>
        <w:spacing w:after="0" w:line="360" w:lineRule="auto"/>
        <w:rPr>
          <w:u w:val="single"/>
        </w:rPr>
      </w:pPr>
    </w:p>
    <w:p w:rsidR="008A3FAB" w:rsidRPr="00F1408A" w:rsidRDefault="008A3FAB" w:rsidP="008A3FAB">
      <w:pPr>
        <w:spacing w:after="0" w:line="360" w:lineRule="auto"/>
        <w:rPr>
          <w:u w:val="single"/>
        </w:rPr>
      </w:pPr>
      <w:bookmarkStart w:id="0" w:name="_GoBack"/>
      <w:bookmarkEnd w:id="0"/>
      <w:r w:rsidRPr="00F1408A">
        <w:rPr>
          <w:u w:val="single"/>
        </w:rPr>
        <w:lastRenderedPageBreak/>
        <w:t>Uzasadnienie prawne:</w:t>
      </w:r>
    </w:p>
    <w:p w:rsidR="008A3FAB" w:rsidRDefault="008A3FAB" w:rsidP="008A3FAB">
      <w:pPr>
        <w:spacing w:after="0" w:line="360" w:lineRule="auto"/>
      </w:pPr>
      <w:r>
        <w:t xml:space="preserve">Zamawiający na podstawie art. 90 ust. 3 ustawy </w:t>
      </w:r>
      <w:r w:rsidRPr="00427FAD">
        <w:t>z dnia 29 stycznia 2004</w:t>
      </w:r>
      <w:r>
        <w:t xml:space="preserve"> </w:t>
      </w:r>
      <w:r w:rsidRPr="00427FAD">
        <w:t>r. Prawo zamówień publicznych</w:t>
      </w:r>
      <w:r>
        <w:t xml:space="preserve"> odrzuca ofertę wykonawcy, który nie </w:t>
      </w:r>
      <w:r w:rsidRPr="008A3FAB">
        <w:t xml:space="preserve">udzielił </w:t>
      </w:r>
      <w:r>
        <w:t xml:space="preserve">wyjaśnień lub jeżeli dokonana ocena wyjaśnień wraz </w:t>
      </w:r>
      <w:r w:rsidRPr="008A3FAB">
        <w:t xml:space="preserve">ze złożonymi </w:t>
      </w:r>
      <w:r>
        <w:t xml:space="preserve">dowodami potwierdza, że Oferta zawiera rażąco niską cenę </w:t>
      </w:r>
      <w:r>
        <w:rPr>
          <w:b/>
        </w:rPr>
        <w:t xml:space="preserve">lub koszt </w:t>
      </w:r>
      <w:r>
        <w:t xml:space="preserve">w stosunku do przedmiotu zamówienia. </w:t>
      </w:r>
    </w:p>
    <w:p w:rsidR="008A3FAB" w:rsidRPr="00E109B4" w:rsidRDefault="008A3FAB" w:rsidP="008A3FAB">
      <w:pPr>
        <w:spacing w:after="0" w:line="360" w:lineRule="auto"/>
        <w:rPr>
          <w:u w:val="single"/>
        </w:rPr>
      </w:pPr>
      <w:r w:rsidRPr="00F1408A">
        <w:rPr>
          <w:u w:val="single"/>
        </w:rPr>
        <w:t xml:space="preserve">Uzasadnienie </w:t>
      </w:r>
      <w:r>
        <w:rPr>
          <w:u w:val="single"/>
        </w:rPr>
        <w:t>faktyczne</w:t>
      </w:r>
      <w:r w:rsidRPr="00F1408A">
        <w:rPr>
          <w:u w:val="single"/>
        </w:rPr>
        <w:t>:</w:t>
      </w:r>
    </w:p>
    <w:p w:rsidR="008A3FAB" w:rsidRPr="008A3FAB" w:rsidRDefault="008A3FAB" w:rsidP="008A3FAB">
      <w:pPr>
        <w:spacing w:after="0" w:line="360" w:lineRule="auto"/>
        <w:rPr>
          <w:b/>
        </w:rPr>
      </w:pPr>
      <w:r>
        <w:t xml:space="preserve">W dniu </w:t>
      </w:r>
      <w:r>
        <w:t>29.05.2018</w:t>
      </w:r>
      <w:r>
        <w:t xml:space="preserve"> r. </w:t>
      </w:r>
      <w:r>
        <w:t>wpłynęło pismo od firmy SGW Budownictwo Waldemar Stelmach z informacją, że po ponownym oszacowaniu stwierdzono niedoszacowanie oferty, w związku z czym nie są w stanie zrealizować zamówienia za cenę wskazaną w ofercie. W tej sytuacji Zamawiający odstąpił od badania rażąco niskiej ceny i uznał pismo Wykonawcy jako wystarczające wyjaśnienie na okoliczność rażąco niskiej ceny.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22A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4049C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0CAD"/>
    <w:rsid w:val="001008E7"/>
    <w:rsid w:val="001C5209"/>
    <w:rsid w:val="00206E1C"/>
    <w:rsid w:val="002163FC"/>
    <w:rsid w:val="0026345A"/>
    <w:rsid w:val="003C2CD2"/>
    <w:rsid w:val="00460EB9"/>
    <w:rsid w:val="00465B58"/>
    <w:rsid w:val="004A6490"/>
    <w:rsid w:val="004A75C0"/>
    <w:rsid w:val="004E51D3"/>
    <w:rsid w:val="00543D73"/>
    <w:rsid w:val="00631A32"/>
    <w:rsid w:val="00632159"/>
    <w:rsid w:val="006F1806"/>
    <w:rsid w:val="00721C01"/>
    <w:rsid w:val="007E54C6"/>
    <w:rsid w:val="008A3FAB"/>
    <w:rsid w:val="008C7296"/>
    <w:rsid w:val="00A7722E"/>
    <w:rsid w:val="00B732E0"/>
    <w:rsid w:val="00C06D71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8A3FAB"/>
    <w:pPr>
      <w:spacing w:before="200" w:after="0" w:line="240" w:lineRule="auto"/>
      <w:ind w:left="567"/>
      <w:jc w:val="both"/>
      <w:outlineLvl w:val="1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A3FAB"/>
    <w:rPr>
      <w:rFonts w:ascii="Arial" w:eastAsia="Times New Roman" w:hAnsi="Arial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20</cp:revision>
  <cp:lastPrinted>2017-10-09T07:57:00Z</cp:lastPrinted>
  <dcterms:created xsi:type="dcterms:W3CDTF">2016-09-23T10:28:00Z</dcterms:created>
  <dcterms:modified xsi:type="dcterms:W3CDTF">2018-06-13T10:47:00Z</dcterms:modified>
</cp:coreProperties>
</file>